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Minnesota Mental Health Bill of Rights</w:t>
      </w:r>
    </w:p>
    <w:p w:rsidR="00000000" w:rsidDel="00000000" w:rsidP="00000000" w:rsidRDefault="00000000" w:rsidRPr="00000000" w14:paraId="00000002">
      <w:pPr>
        <w:widowControl w:val="0"/>
        <w:spacing w:before="427.2" w:lineRule="auto"/>
        <w:ind w:left="-499.20000000000005" w:right="-307.2000000000003" w:firstLine="0"/>
        <w:jc w:val="center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Consumers of marriage and family therapy or professional counseling services offered by marriage and family therapists or professional clinical counselors licensed by the State of Minnesota </w:t>
      </w:r>
      <w:r w:rsidDel="00000000" w:rsidR="00000000" w:rsidRPr="00000000">
        <w:rPr>
          <w:color w:val="060600"/>
          <w:sz w:val="20"/>
          <w:szCs w:val="20"/>
          <w:rtl w:val="0"/>
        </w:rPr>
        <w:t xml:space="preserve">have </w:t>
      </w:r>
      <w:r w:rsidDel="00000000" w:rsidR="00000000" w:rsidRPr="00000000">
        <w:rPr>
          <w:color w:val="101000"/>
          <w:sz w:val="20"/>
          <w:szCs w:val="20"/>
          <w:rtl w:val="0"/>
        </w:rPr>
        <w:t xml:space="preserve">the </w:t>
      </w:r>
      <w:r w:rsidDel="00000000" w:rsidR="00000000" w:rsidRPr="00000000">
        <w:rPr>
          <w:sz w:val="20"/>
          <w:szCs w:val="20"/>
          <w:rtl w:val="0"/>
        </w:rPr>
        <w:t xml:space="preserve">right:</w:t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spacing w:after="200" w:line="240" w:lineRule="auto"/>
        <w:ind w:left="720" w:right="-307.2000000000003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expect that a therapist or counselor has met the minimal qualification of training and experience required by state law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 To examine public records maintained by the state of Minnesota which contain the credentials of a counselor or therapist: for LPCC's and LADC's (or license candidates): the Board of Behavioral Health and Therapy, for LMFT's (or license candidates): the Board of Marriage and Family Therapy, for LICSW's (or license candidates): the Board of Social Work, and for LP's (or candidates): the Board of Psychology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obtain a copy of the code of ethics from the Board of Behavioral Health and Therapy, 2829 University Ave SE, Suite 210, Minneapolis, MN 55414-3222, the Board of Marriage and Family Therapy, 2829 University Ave SE, Suite 330, Minneapolis, MN 55414-3222, the Board of Social Work, 2829 University Ave SE, Suite 340 Minneapolis, MN 55414-3239, or the Board of Psychology, 2829 University Ave SE Suite 320 Minneapolis, MN 55414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report complains to the Board of Behavioral Health and Therapy by calling (612) 617-2178, to the Board of Marriage and Family Therapy at (612) 617-2220, to the Board of Social work at (612) 617-2100, or to the Board of Psychology at (612) 617-2230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be informed of the cost of professional services before receiving services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You, the client, are billed directly for services, or your insurance coverage may be billed with your permission. 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have a right to reasonable notice of changes in services or charges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spacing w:after="200" w:line="240" w:lineRule="auto"/>
        <w:ind w:left="720" w:right="-604.8000000000002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have the right to receive a summary, in plain language, of the theoretical approach used by us in working with clients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have the right to complete and current information concerning our assessment and recommended course of treatment, including the expected duration of treatment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have the right to expect courteous treatment and to be free from verbal, physical, or sexual abuse by the practitioner working with you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privacy as defined by rule and law and more clearly outlined in the Privacy Policy 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 To be free from being the subject of discrimination on the basis of race, religion, or gender, or other unlawful category while receiving services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have access to their records as provided by Minnesota Statutes, section 144.292, subdivision 7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To be free from exploitation for the benefit or advantage of the therapist or counselor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should know that other services may be available in the community. To find out about such services, you may call First Call for Help at 651-291-0211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spacing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 You have the right to choose freely among available practitioners, and to change practitioners after services have begun, within the limits of health insurance, medical assistance, or other health programs. 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have a right to coordinated transfer when there is a change in the provider of services.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may refuse services or treatment, unless otherwise provided by law</w:t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spacing w:after="200" w:line="240" w:lineRule="auto"/>
        <w:ind w:left="720" w:right="-287.99999999999955" w:hanging="360"/>
        <w:rPr>
          <w:rFonts w:ascii="Book Antiqua" w:cs="Book Antiqua" w:eastAsia="Book Antiqua" w:hAnsi="Book Antiqua"/>
          <w:sz w:val="18"/>
          <w:szCs w:val="18"/>
        </w:rPr>
      </w:pPr>
      <w:r w:rsidDel="00000000" w:rsidR="00000000" w:rsidRPr="00000000">
        <w:rPr>
          <w:rFonts w:ascii="Book Antiqua" w:cs="Book Antiqua" w:eastAsia="Book Antiqua" w:hAnsi="Book Antiqua"/>
          <w:sz w:val="18"/>
          <w:szCs w:val="18"/>
          <w:rtl w:val="0"/>
        </w:rPr>
        <w:t xml:space="preserve">You may assert these and other rights without retaliation</w:t>
      </w:r>
    </w:p>
    <w:p w:rsidR="00000000" w:rsidDel="00000000" w:rsidP="00000000" w:rsidRDefault="00000000" w:rsidRPr="00000000" w14:paraId="00000016">
      <w:pPr>
        <w:widowControl w:val="0"/>
        <w:spacing w:before="14.399999999999999" w:lineRule="auto"/>
        <w:ind w:left="720" w:right="-287.9999999999995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